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PROYECTO DE LEY N° _______ DE 2019 SENADO</w:t>
      </w:r>
      <w:r>
        <w:rPr>
          <w:rFonts w:ascii="Bookman Old Style" w:hAnsi="Bookman Old Style"/>
          <w:b/>
          <w:bCs/>
          <w:sz w:val="24"/>
          <w:szCs w:val="24"/>
        </w:rPr>
        <w:t xml:space="preserve"> DE LA REPÚBLICA</w:t>
      </w:r>
      <w:r w:rsidRPr="00293FC9">
        <w:rPr>
          <w:rFonts w:ascii="Bookman Old Style" w:hAnsi="Bookman Old Style"/>
          <w:b/>
          <w:bCs/>
          <w:sz w:val="24"/>
          <w:szCs w:val="24"/>
        </w:rPr>
        <w:t xml:space="preserve"> “POR MEDIO DEL CUAL SE CREAN LOS OBSERVATORIOS ECONÓMICOS DE INFORMACIÓN ESTADÍSTICA PARA EL DESARROLLO ECONÓMICO REGIONAL” </w:t>
      </w:r>
    </w:p>
    <w:p w:rsidR="002F2B0A" w:rsidRDefault="002F2B0A" w:rsidP="002F2B0A">
      <w:pPr>
        <w:jc w:val="center"/>
        <w:rPr>
          <w:rFonts w:ascii="Bookman Old Style" w:hAnsi="Bookman Old Style"/>
          <w:sz w:val="24"/>
          <w:szCs w:val="24"/>
        </w:rPr>
      </w:pPr>
    </w:p>
    <w:p w:rsidR="002F2B0A" w:rsidRPr="00293FC9" w:rsidRDefault="002F2B0A" w:rsidP="002F2B0A">
      <w:pPr>
        <w:jc w:val="center"/>
        <w:rPr>
          <w:rFonts w:ascii="Bookman Old Style" w:hAnsi="Bookman Old Style"/>
          <w:sz w:val="24"/>
          <w:szCs w:val="24"/>
        </w:rPr>
      </w:pPr>
      <w:r w:rsidRPr="00293FC9">
        <w:rPr>
          <w:rFonts w:ascii="Bookman Old Style" w:hAnsi="Bookman Old Style"/>
          <w:sz w:val="24"/>
          <w:szCs w:val="24"/>
        </w:rPr>
        <w:t>EL CONGRESO DE LA REPÚBLICA</w:t>
      </w:r>
    </w:p>
    <w:p w:rsidR="002F2B0A" w:rsidRPr="00293FC9" w:rsidRDefault="002F2B0A" w:rsidP="002F2B0A">
      <w:pPr>
        <w:jc w:val="center"/>
        <w:rPr>
          <w:rFonts w:ascii="Bookman Old Style" w:hAnsi="Bookman Old Style"/>
          <w:sz w:val="24"/>
          <w:szCs w:val="24"/>
        </w:rPr>
      </w:pPr>
      <w:r w:rsidRPr="00293FC9">
        <w:rPr>
          <w:rFonts w:ascii="Bookman Old Style" w:hAnsi="Bookman Old Style"/>
          <w:i/>
          <w:iCs/>
          <w:sz w:val="24"/>
          <w:szCs w:val="24"/>
        </w:rPr>
        <w:t>DECRETA</w:t>
      </w:r>
      <w:bookmarkStart w:id="0" w:name="_GoBack"/>
      <w:bookmarkEnd w:id="0"/>
    </w:p>
    <w:p w:rsidR="002F2B0A" w:rsidRDefault="002F2B0A" w:rsidP="002F2B0A">
      <w:pPr>
        <w:jc w:val="both"/>
        <w:rPr>
          <w:rFonts w:ascii="Bookman Old Style" w:hAnsi="Bookman Old Style"/>
          <w:b/>
          <w:sz w:val="24"/>
          <w:szCs w:val="24"/>
        </w:rPr>
      </w:pPr>
    </w:p>
    <w:p w:rsidR="002F2B0A" w:rsidRPr="00293FC9" w:rsidRDefault="002F2B0A" w:rsidP="002F2B0A">
      <w:pPr>
        <w:jc w:val="both"/>
        <w:rPr>
          <w:rFonts w:ascii="Bookman Old Style" w:hAnsi="Bookman Old Style"/>
          <w:sz w:val="24"/>
          <w:szCs w:val="24"/>
        </w:rPr>
      </w:pPr>
      <w:r w:rsidRPr="002F2B0A">
        <w:rPr>
          <w:rFonts w:ascii="Bookman Old Style" w:hAnsi="Bookman Old Style"/>
          <w:b/>
          <w:sz w:val="24"/>
          <w:szCs w:val="24"/>
        </w:rPr>
        <w:t>Artículo 1°-</w:t>
      </w:r>
      <w:r w:rsidRPr="00293FC9">
        <w:rPr>
          <w:rFonts w:ascii="Bookman Old Style" w:hAnsi="Bookman Old Style"/>
          <w:sz w:val="24"/>
          <w:szCs w:val="24"/>
        </w:rPr>
        <w:t xml:space="preserve"> </w:t>
      </w:r>
      <w:r w:rsidRPr="00293FC9">
        <w:rPr>
          <w:rFonts w:ascii="Bookman Old Style" w:hAnsi="Bookman Old Style"/>
          <w:b/>
          <w:bCs/>
          <w:sz w:val="24"/>
          <w:szCs w:val="24"/>
        </w:rPr>
        <w:t xml:space="preserve">objeto. </w:t>
      </w:r>
      <w:r w:rsidRPr="00293FC9">
        <w:rPr>
          <w:rFonts w:ascii="Bookman Old Style" w:hAnsi="Bookman Old Style"/>
          <w:sz w:val="24"/>
          <w:szCs w:val="24"/>
        </w:rPr>
        <w:t xml:space="preserve">La presente Ley tiene por objeto la creación de observatorios económicos para el desarrollo económico de la nación, la vigilancia, seguimiento y control al comportamiento de las principales variables económicas que afectan la economía colombiana y la articulación con los centros estadísticos de producción nacional que desempeñan funciones investigativas para la actualización, recolección y publicación de datos que beneficien la toma de decisiones para la inversión social, productiva y empresarial en Colombia. </w:t>
      </w:r>
    </w:p>
    <w:p w:rsidR="002F2B0A" w:rsidRPr="00293FC9" w:rsidRDefault="002F2B0A" w:rsidP="002F2B0A">
      <w:pPr>
        <w:jc w:val="both"/>
        <w:rPr>
          <w:rFonts w:ascii="Bookman Old Style" w:hAnsi="Bookman Old Style"/>
          <w:sz w:val="24"/>
          <w:szCs w:val="24"/>
        </w:rPr>
      </w:pPr>
      <w:r w:rsidRPr="002F2B0A">
        <w:rPr>
          <w:rFonts w:ascii="Bookman Old Style" w:hAnsi="Bookman Old Style"/>
          <w:b/>
          <w:sz w:val="24"/>
          <w:szCs w:val="24"/>
        </w:rPr>
        <w:t>Artículo 2°</w:t>
      </w:r>
      <w:r w:rsidRPr="00293FC9">
        <w:rPr>
          <w:rFonts w:ascii="Bookman Old Style" w:hAnsi="Bookman Old Style"/>
          <w:sz w:val="24"/>
          <w:szCs w:val="24"/>
        </w:rPr>
        <w:t xml:space="preserve"> </w:t>
      </w:r>
      <w:r w:rsidRPr="00293FC9">
        <w:rPr>
          <w:rFonts w:ascii="Bookman Old Style" w:hAnsi="Bookman Old Style"/>
          <w:b/>
          <w:bCs/>
          <w:i/>
          <w:iCs/>
          <w:sz w:val="24"/>
          <w:szCs w:val="24"/>
        </w:rPr>
        <w:t xml:space="preserve">definiciones. </w:t>
      </w:r>
      <w:r w:rsidRPr="00293FC9">
        <w:rPr>
          <w:rFonts w:ascii="Bookman Old Style" w:hAnsi="Bookman Old Style"/>
          <w:sz w:val="24"/>
          <w:szCs w:val="24"/>
        </w:rPr>
        <w:t xml:space="preserve">Entiéndase por </w:t>
      </w:r>
      <w:r w:rsidRPr="00293FC9">
        <w:rPr>
          <w:rFonts w:ascii="Bookman Old Style" w:hAnsi="Bookman Old Style"/>
          <w:i/>
          <w:iCs/>
          <w:sz w:val="24"/>
          <w:szCs w:val="24"/>
        </w:rPr>
        <w:t xml:space="preserve">observatorios económicos </w:t>
      </w:r>
      <w:r w:rsidRPr="00293FC9">
        <w:rPr>
          <w:rFonts w:ascii="Bookman Old Style" w:hAnsi="Bookman Old Style"/>
          <w:sz w:val="24"/>
          <w:szCs w:val="24"/>
        </w:rPr>
        <w:t xml:space="preserve">los centros especializados de recolección de datos, producción de informes, publicación de estudios y anuncio de resultados que integran a sus procesos el uso de plataformas de información pública, articulados con el Departamento Nacional de Estadística DANE y que aportan a los centros de estadística nacional insumos para el seguimiento económico al tiempo que complementan la función del sistema de cuentas nacionales con fundamento en la elaboración de información estadística especializada. </w:t>
      </w:r>
    </w:p>
    <w:p w:rsidR="002F2B0A" w:rsidRPr="00293FC9" w:rsidRDefault="002F2B0A" w:rsidP="002F2B0A">
      <w:pPr>
        <w:jc w:val="both"/>
        <w:rPr>
          <w:rFonts w:ascii="Bookman Old Style" w:hAnsi="Bookman Old Style"/>
          <w:sz w:val="24"/>
          <w:szCs w:val="24"/>
        </w:rPr>
      </w:pPr>
      <w:r w:rsidRPr="002F2B0A">
        <w:rPr>
          <w:rFonts w:ascii="Bookman Old Style" w:hAnsi="Bookman Old Style"/>
          <w:b/>
          <w:sz w:val="24"/>
          <w:szCs w:val="24"/>
        </w:rPr>
        <w:t>Artículo 3°</w:t>
      </w:r>
      <w:r w:rsidRPr="00293FC9">
        <w:rPr>
          <w:rFonts w:ascii="Bookman Old Style" w:hAnsi="Bookman Old Style"/>
          <w:sz w:val="24"/>
          <w:szCs w:val="24"/>
        </w:rPr>
        <w:t xml:space="preserve"> </w:t>
      </w:r>
      <w:r w:rsidRPr="00293FC9">
        <w:rPr>
          <w:rFonts w:ascii="Bookman Old Style" w:hAnsi="Bookman Old Style"/>
          <w:b/>
          <w:bCs/>
          <w:i/>
          <w:iCs/>
          <w:sz w:val="24"/>
          <w:szCs w:val="24"/>
        </w:rPr>
        <w:t xml:space="preserve">funciones. </w:t>
      </w:r>
      <w:r w:rsidRPr="00293FC9">
        <w:rPr>
          <w:rFonts w:ascii="Bookman Old Style" w:hAnsi="Bookman Old Style"/>
          <w:sz w:val="24"/>
          <w:szCs w:val="24"/>
        </w:rPr>
        <w:t xml:space="preserve">Los observatorios económicos de información estadística para el desarrollo económico nacional serán una herramienta de consulta abierta cuya función específica es la recolección de datos estadísticos en cada una de las regiones que conforman la división político administrativa de Colombia y que proveen información de su estructura económica y social para la toma de decisiones de inversión que satisfaga el proceso de desarrollo económico sin afectar las disposiciones legales en materia de cuentas nacionales. Tendrán entre otras: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1. Ser un mecanismo de fortalecimiento del sistema de información estadística en el país cuyo referente es la administración de datos por parte </w:t>
      </w:r>
      <w:r w:rsidRPr="00293FC9">
        <w:rPr>
          <w:rFonts w:ascii="Bookman Old Style" w:hAnsi="Bookman Old Style"/>
          <w:sz w:val="24"/>
          <w:szCs w:val="24"/>
        </w:rPr>
        <w:lastRenderedPageBreak/>
        <w:t xml:space="preserve">de los gobiernos subnacionales en cabeza de los gobernadores de cada Departamento.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2. Direccionar el modelo de actualización estadística con base en la recolección de datos en materia de: inversión, producción, industria, empleo, población, vivienda, educación, salud, infraestructura, medio ambiente, finanzas públicas, emprendimiento, comercio, entre otras funciones derivadas del acervo estadístico regional.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3. Incentivar el uso de plataformas tecnológicas de comunicación estadística actualizada, de acceso libre por medio de un portal específico en la página web de cada gobernación.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4. Organizar y fortalecer la disponibilidad y uso de información con el fin de garantizar su sostenibilidad en el tiempo, así como de la orientación a la gestión del conocimiento.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5. Generar informes estadísticos periódicos y presentarlos ante cada una de las asambleas departamentales, así como a los consejos y alcaldías municipales. Los mismos deben ser socializados con la población y gremios productivos, productores, empresarios, academia, y todos los interesados en la apropiación de conocimiento económico de su región.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6. Articularse con el Departamento Nacional de Estadística, el Departamento nacional de Planeación, los ministerios de hacienda, Tecnologías de la Información, industria comercio y turismo, transporte, agricultura, medio ambiente, salud, contraloría general de la república, congreso de la República, y demás instituciones que el Gobierno Nacional disponga en la reglamentación de la presente Ley.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7. Ser motores del conocimiento económico regional que dispone del acervo estadístico suficiente para la gestión del conocimiento en materia de toma de decisiones de inversiones públicas dirigidas desde el Gobierno Nacional para la focalización y eficiencia del gasto en los sectores determinados por su condición y necesidades. Así como de aquellas que derivan del gasto autónomo ejercido por cada gobierno Subnacional.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8. Presentar la información de estado de inversiones ejecutadas con los recursos públicos provenientes de la metodología de aplicación presupuestal dispuestas por la ley al término de cada vigencia fiscal ante el Gobierno Nacional.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lastRenderedPageBreak/>
        <w:t xml:space="preserve">9. Vigilar la transparencia de la información estadística reportada por sus bases de datos para dar congruencia a los procesos de planificación territorial de corto, mediano y largo plazo, establecidos en la política de desarrollo económico regional.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10. Promover acciones de cambio que contribuyan a la correcta distribución de inversiones públicas en el ámbito territorial para el desarrollo regional.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11. Ser una fuente de consulta inmediata, útil y confiable para los planes de desarrollo económico con fundamento en los criterios de descentralización nacional.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12. Ser un órgano de consultoría económica en los estudios propuestos por la gobernación de cada Departamento. </w:t>
      </w:r>
    </w:p>
    <w:p w:rsidR="002F2B0A" w:rsidRPr="00293FC9" w:rsidRDefault="002F2B0A" w:rsidP="002F2B0A">
      <w:pPr>
        <w:jc w:val="both"/>
        <w:rPr>
          <w:rFonts w:ascii="Bookman Old Style" w:hAnsi="Bookman Old Style"/>
          <w:sz w:val="24"/>
          <w:szCs w:val="24"/>
        </w:rPr>
      </w:pPr>
      <w:r>
        <w:rPr>
          <w:rFonts w:ascii="Bookman Old Style" w:hAnsi="Bookman Old Style"/>
          <w:b/>
          <w:bCs/>
          <w:sz w:val="24"/>
          <w:szCs w:val="24"/>
        </w:rPr>
        <w:t>Parágrafo</w:t>
      </w:r>
      <w:r w:rsidRPr="00293FC9">
        <w:rPr>
          <w:rFonts w:ascii="Bookman Old Style" w:hAnsi="Bookman Old Style"/>
          <w:b/>
          <w:bCs/>
          <w:sz w:val="24"/>
          <w:szCs w:val="24"/>
        </w:rPr>
        <w:t xml:space="preserve">. </w:t>
      </w:r>
      <w:r w:rsidRPr="00293FC9">
        <w:rPr>
          <w:rFonts w:ascii="Bookman Old Style" w:hAnsi="Bookman Old Style"/>
          <w:sz w:val="24"/>
          <w:szCs w:val="24"/>
        </w:rPr>
        <w:t xml:space="preserve">El Gobierno nacional podrá determinar otras funciones específicas en la reglamentación de la presente Ley sin afectar las contempladas en la misma. </w:t>
      </w:r>
    </w:p>
    <w:p w:rsidR="002F2B0A" w:rsidRPr="00293FC9" w:rsidRDefault="002F2B0A" w:rsidP="002F2B0A">
      <w:pPr>
        <w:jc w:val="both"/>
        <w:rPr>
          <w:rFonts w:ascii="Bookman Old Style" w:hAnsi="Bookman Old Style"/>
          <w:sz w:val="24"/>
          <w:szCs w:val="24"/>
        </w:rPr>
      </w:pPr>
      <w:r w:rsidRPr="002F2B0A">
        <w:rPr>
          <w:rFonts w:ascii="Bookman Old Style" w:hAnsi="Bookman Old Style"/>
          <w:b/>
          <w:sz w:val="24"/>
          <w:szCs w:val="24"/>
        </w:rPr>
        <w:t>Artículo 4°</w:t>
      </w:r>
      <w:r w:rsidRPr="00293FC9">
        <w:rPr>
          <w:rFonts w:ascii="Bookman Old Style" w:hAnsi="Bookman Old Style"/>
          <w:sz w:val="24"/>
          <w:szCs w:val="24"/>
        </w:rPr>
        <w:t xml:space="preserve"> </w:t>
      </w:r>
      <w:r w:rsidRPr="00293FC9">
        <w:rPr>
          <w:rFonts w:ascii="Bookman Old Style" w:hAnsi="Bookman Old Style"/>
          <w:b/>
          <w:bCs/>
          <w:i/>
          <w:iCs/>
          <w:sz w:val="24"/>
          <w:szCs w:val="24"/>
        </w:rPr>
        <w:t xml:space="preserve">Administración </w:t>
      </w:r>
      <w:r w:rsidRPr="00293FC9">
        <w:rPr>
          <w:rFonts w:ascii="Bookman Old Style" w:hAnsi="Bookman Old Style"/>
          <w:sz w:val="24"/>
          <w:szCs w:val="24"/>
        </w:rPr>
        <w:t xml:space="preserve">para su administración los gobernadores ejercerán la presidencia del Observatorio Económico de información estadística para el desarrollo económico y designarán personal idóneo con funciones específicas en la recolección de datos, generación de estadísticas, análisis cuantitativo, consolidación y reporte, los cuales funcionarán al interior de cada una de las secretarias de planeación y desarrollo económico como dependencias agregadas con autonomía y criterio técnico. </w:t>
      </w: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 xml:space="preserve">Artículo 5°. </w:t>
      </w:r>
      <w:r w:rsidRPr="00293FC9">
        <w:rPr>
          <w:rFonts w:ascii="Bookman Old Style" w:hAnsi="Bookman Old Style"/>
          <w:sz w:val="24"/>
          <w:szCs w:val="24"/>
        </w:rPr>
        <w:t xml:space="preserve">Las universidades serán subsidiarias de las gobernaciones en cada uno de los observatorios económicos a través de su participación y trabajo conjunto como invitados especiales de consulta y capacitación. </w:t>
      </w:r>
    </w:p>
    <w:p w:rsidR="002F2B0A" w:rsidRPr="00293FC9" w:rsidRDefault="002F2B0A" w:rsidP="002F2B0A">
      <w:pPr>
        <w:jc w:val="both"/>
        <w:rPr>
          <w:rFonts w:ascii="Bookman Old Style" w:hAnsi="Bookman Old Style"/>
          <w:sz w:val="24"/>
          <w:szCs w:val="24"/>
        </w:rPr>
      </w:pPr>
      <w:r w:rsidRPr="002F2B0A">
        <w:rPr>
          <w:rFonts w:ascii="Bookman Old Style" w:hAnsi="Bookman Old Style"/>
          <w:b/>
          <w:i/>
          <w:iCs/>
          <w:sz w:val="24"/>
          <w:szCs w:val="24"/>
        </w:rPr>
        <w:t xml:space="preserve">Parágrafo </w:t>
      </w:r>
      <w:r w:rsidRPr="00293FC9">
        <w:rPr>
          <w:rFonts w:ascii="Bookman Old Style" w:hAnsi="Bookman Old Style"/>
          <w:i/>
          <w:iCs/>
          <w:sz w:val="24"/>
          <w:szCs w:val="24"/>
        </w:rPr>
        <w:t>Sus</w:t>
      </w:r>
      <w:r w:rsidRPr="00293FC9">
        <w:rPr>
          <w:rFonts w:ascii="Bookman Old Style" w:hAnsi="Bookman Old Style"/>
          <w:sz w:val="24"/>
          <w:szCs w:val="24"/>
        </w:rPr>
        <w:t xml:space="preserve"> servicios serán ad honorem y podrán presentar estudiantes de últimos semestres que se encuentren en proceso de práctica o trabajo de grado para recibir el título oficial. Los mismos deberán cumplir el requisito de mantener un promedio igual o superior a 3.7 acumulado y su participación será certificada por la gobernación en calidad de experiencia profesional.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 xml:space="preserve">Artículo 6. </w:t>
      </w:r>
      <w:r w:rsidRPr="00293FC9">
        <w:rPr>
          <w:rFonts w:ascii="Bookman Old Style" w:hAnsi="Bookman Old Style"/>
          <w:sz w:val="24"/>
          <w:szCs w:val="24"/>
        </w:rPr>
        <w:t xml:space="preserve">Las gobernaciones podrán mediante convocatoria pública contratar jóvenes recién egresados de programas superiores universitarios cuyos promedios se encuentren entre los mejores puntajes para hacer parte de los observatorios económicos de información estadística. </w:t>
      </w: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lastRenderedPageBreak/>
        <w:t xml:space="preserve">Parágrafo. </w:t>
      </w:r>
      <w:r w:rsidRPr="00293FC9">
        <w:rPr>
          <w:rFonts w:ascii="Bookman Old Style" w:hAnsi="Bookman Old Style"/>
          <w:sz w:val="24"/>
          <w:szCs w:val="24"/>
        </w:rPr>
        <w:t xml:space="preserve">La convocatoria a que haya lugar destacará por concurso la idoneidad del participante mediante prueba eliminatoria que será aplicada por una Universidad encargada para su proceso. </w:t>
      </w: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 xml:space="preserve">Artículo 7°. </w:t>
      </w:r>
      <w:r w:rsidRPr="00293FC9">
        <w:rPr>
          <w:rFonts w:ascii="Bookman Old Style" w:hAnsi="Bookman Old Style"/>
          <w:sz w:val="24"/>
          <w:szCs w:val="24"/>
        </w:rPr>
        <w:t xml:space="preserve">Las alcaldías municipales designarán funcionarios idóneos de su planta administrativa encargados de la presentación de información estadística a los observatorios económicos departamentales derivada de las condiciones económicas de los mismos. </w:t>
      </w:r>
    </w:p>
    <w:p w:rsidR="002F2B0A" w:rsidRPr="00293FC9" w:rsidRDefault="002F2B0A" w:rsidP="002F2B0A">
      <w:pPr>
        <w:jc w:val="both"/>
        <w:rPr>
          <w:rFonts w:ascii="Bookman Old Style" w:hAnsi="Bookman Old Style"/>
          <w:sz w:val="24"/>
          <w:szCs w:val="24"/>
        </w:rPr>
      </w:pPr>
      <w:r w:rsidRPr="002F2B0A">
        <w:rPr>
          <w:rFonts w:ascii="Bookman Old Style" w:hAnsi="Bookman Old Style"/>
          <w:b/>
          <w:sz w:val="24"/>
          <w:szCs w:val="24"/>
        </w:rPr>
        <w:t>Parágrafo</w:t>
      </w:r>
      <w:r>
        <w:rPr>
          <w:rFonts w:ascii="Bookman Old Style" w:hAnsi="Bookman Old Style"/>
          <w:sz w:val="24"/>
          <w:szCs w:val="24"/>
        </w:rPr>
        <w:t xml:space="preserve"> </w:t>
      </w:r>
      <w:r w:rsidRPr="00293FC9">
        <w:rPr>
          <w:rFonts w:ascii="Bookman Old Style" w:hAnsi="Bookman Old Style"/>
          <w:sz w:val="24"/>
          <w:szCs w:val="24"/>
        </w:rPr>
        <w:t>Las</w:t>
      </w:r>
      <w:r w:rsidRPr="00293FC9">
        <w:rPr>
          <w:rFonts w:ascii="Bookman Old Style" w:hAnsi="Bookman Old Style"/>
          <w:sz w:val="24"/>
          <w:szCs w:val="24"/>
        </w:rPr>
        <w:t xml:space="preserve"> universidades ejercerán la misma función en los municipios, contemplada en el artículo 5° de la presente ley. Sin perjuicio de su función, las alcaldías brindarán el apoyo logístico de desplazamiento y permanencia de estudiantes universitarios y docentes cuando haya lugar a su visita. </w:t>
      </w: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 xml:space="preserve">Artículo 8°. </w:t>
      </w:r>
      <w:r w:rsidRPr="00293FC9">
        <w:rPr>
          <w:rFonts w:ascii="Bookman Old Style" w:hAnsi="Bookman Old Style"/>
          <w:sz w:val="24"/>
          <w:szCs w:val="24"/>
        </w:rPr>
        <w:t xml:space="preserve">El departamento Nacional de Estadística será el máximo representante encargado de dirigir la formulación del esquema de producción de estadísticas en los Departamentos, promoverá la práctica estadística y capacitará a los integrantes de los observatorios económicos. </w:t>
      </w: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 xml:space="preserve">Artículo 9°. </w:t>
      </w:r>
      <w:r w:rsidRPr="00293FC9">
        <w:rPr>
          <w:rFonts w:ascii="Bookman Old Style" w:hAnsi="Bookman Old Style"/>
          <w:sz w:val="24"/>
          <w:szCs w:val="24"/>
        </w:rPr>
        <w:t xml:space="preserve">Créese el comité consultivo de los Observatorios económicos, conformado por: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1. El Gobernador del Departamento y/o su delegado.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2. Dos (2) representantes de los Diputados elegidos por la Asamblea.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3. Un (1) representante de la Cámara de comercio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4. El alcalde de la ciudad capital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5. Un (1) delegado en calidad de Rector de las Universidades que tienen presencia en el Departamento elegido por votación.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6. El director administrativo de planeación departamental.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7. Un Delegado del Departamento Nacional de Estadística DANE. </w:t>
      </w:r>
    </w:p>
    <w:p w:rsidR="002F2B0A" w:rsidRDefault="002F2B0A" w:rsidP="002F2B0A">
      <w:pPr>
        <w:jc w:val="both"/>
        <w:rPr>
          <w:rFonts w:ascii="Bookman Old Style" w:hAnsi="Bookman Old Style"/>
          <w:b/>
          <w:i/>
          <w:iCs/>
          <w:sz w:val="24"/>
          <w:szCs w:val="24"/>
        </w:rPr>
      </w:pPr>
    </w:p>
    <w:p w:rsidR="002F2B0A" w:rsidRPr="00293FC9" w:rsidRDefault="002F2B0A" w:rsidP="002F2B0A">
      <w:pPr>
        <w:jc w:val="both"/>
        <w:rPr>
          <w:rFonts w:ascii="Bookman Old Style" w:hAnsi="Bookman Old Style"/>
          <w:sz w:val="24"/>
          <w:szCs w:val="24"/>
        </w:rPr>
      </w:pPr>
      <w:r w:rsidRPr="002F2B0A">
        <w:rPr>
          <w:rFonts w:ascii="Bookman Old Style" w:hAnsi="Bookman Old Style"/>
          <w:b/>
          <w:i/>
          <w:iCs/>
          <w:sz w:val="24"/>
          <w:szCs w:val="24"/>
        </w:rPr>
        <w:t>Parágrafo</w:t>
      </w:r>
      <w:r w:rsidRPr="00293FC9">
        <w:rPr>
          <w:rFonts w:ascii="Bookman Old Style" w:hAnsi="Bookman Old Style"/>
          <w:i/>
          <w:iCs/>
          <w:sz w:val="24"/>
          <w:szCs w:val="24"/>
        </w:rPr>
        <w:t xml:space="preserve"> </w:t>
      </w:r>
      <w:r w:rsidRPr="00293FC9">
        <w:rPr>
          <w:rFonts w:ascii="Bookman Old Style" w:hAnsi="Bookman Old Style"/>
          <w:sz w:val="24"/>
          <w:szCs w:val="24"/>
        </w:rPr>
        <w:t xml:space="preserve">El comité consultivo se reunirá una (1) vez por semestre como mínimo y al cierre del año presentará el informe correspondiente al Gobierno Nacional y a las comisiones económicas del Congreso de la República. </w:t>
      </w:r>
    </w:p>
    <w:p w:rsidR="002F2B0A" w:rsidRDefault="002F2B0A" w:rsidP="002F2B0A">
      <w:pPr>
        <w:jc w:val="both"/>
        <w:rPr>
          <w:rFonts w:ascii="Bookman Old Style" w:hAnsi="Bookman Old Style"/>
          <w:b/>
          <w:bCs/>
          <w:sz w:val="24"/>
          <w:szCs w:val="24"/>
        </w:rPr>
      </w:pPr>
    </w:p>
    <w:p w:rsidR="002F2B0A" w:rsidRDefault="002F2B0A" w:rsidP="002F2B0A">
      <w:pPr>
        <w:jc w:val="both"/>
        <w:rPr>
          <w:rFonts w:ascii="Bookman Old Style" w:hAnsi="Bookman Old Style"/>
          <w:b/>
          <w:bCs/>
          <w:sz w:val="24"/>
          <w:szCs w:val="24"/>
        </w:rPr>
      </w:pP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lastRenderedPageBreak/>
        <w:t>Artículo 10°</w:t>
      </w:r>
      <w:r w:rsidRPr="00293FC9">
        <w:rPr>
          <w:rFonts w:ascii="Bookman Old Style" w:hAnsi="Bookman Old Style"/>
          <w:sz w:val="24"/>
          <w:szCs w:val="24"/>
        </w:rPr>
        <w:t xml:space="preserve">.El gobierno Nacional Reglamentará la presente Ley a partir del sexto mes de su sanción. </w:t>
      </w: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 xml:space="preserve">Artículo 11°. </w:t>
      </w:r>
      <w:r w:rsidRPr="00293FC9">
        <w:rPr>
          <w:rFonts w:ascii="Bookman Old Style" w:hAnsi="Bookman Old Style"/>
          <w:sz w:val="24"/>
          <w:szCs w:val="24"/>
        </w:rPr>
        <w:t>Vigencia</w:t>
      </w:r>
      <w:r w:rsidRPr="00293FC9">
        <w:rPr>
          <w:rFonts w:ascii="Bookman Old Style" w:hAnsi="Bookman Old Style"/>
          <w:b/>
          <w:bCs/>
          <w:sz w:val="24"/>
          <w:szCs w:val="24"/>
        </w:rPr>
        <w:t xml:space="preserve">. </w:t>
      </w:r>
      <w:r w:rsidRPr="00293FC9">
        <w:rPr>
          <w:rFonts w:ascii="Bookman Old Style" w:hAnsi="Bookman Old Style"/>
          <w:sz w:val="24"/>
          <w:szCs w:val="24"/>
        </w:rPr>
        <w:t xml:space="preserve">La presente Ley tiene vigencia a partir de su promulgación y deroga todas las anteriores. </w:t>
      </w:r>
    </w:p>
    <w:p w:rsidR="002F2B0A" w:rsidRDefault="002F2B0A" w:rsidP="002F2B0A">
      <w:pPr>
        <w:jc w:val="both"/>
        <w:rPr>
          <w:rFonts w:ascii="Bookman Old Style" w:hAnsi="Bookman Old Style"/>
          <w:sz w:val="24"/>
          <w:szCs w:val="24"/>
        </w:rPr>
      </w:pPr>
    </w:p>
    <w:p w:rsidR="002F2B0A" w:rsidRDefault="002F2B0A" w:rsidP="002F2B0A">
      <w:pPr>
        <w:jc w:val="both"/>
        <w:rPr>
          <w:rFonts w:ascii="Bookman Old Style" w:hAnsi="Bookman Old Style"/>
          <w:sz w:val="24"/>
          <w:szCs w:val="24"/>
        </w:rPr>
      </w:pP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De los Honorables Congresistas, </w:t>
      </w:r>
    </w:p>
    <w:p w:rsidR="002F2B0A" w:rsidRPr="00293FC9" w:rsidRDefault="002F2B0A" w:rsidP="002F2B0A">
      <w:pPr>
        <w:jc w:val="both"/>
        <w:rPr>
          <w:rFonts w:ascii="Bookman Old Style" w:hAnsi="Bookman Old Style"/>
          <w:sz w:val="24"/>
          <w:szCs w:val="24"/>
        </w:rPr>
      </w:pPr>
    </w:p>
    <w:p w:rsidR="002F2B0A" w:rsidRPr="00293FC9" w:rsidRDefault="002F2B0A" w:rsidP="002F2B0A">
      <w:pPr>
        <w:jc w:val="both"/>
        <w:rPr>
          <w:rFonts w:ascii="Bookman Old Style" w:hAnsi="Bookman Old Style"/>
          <w:sz w:val="24"/>
          <w:szCs w:val="24"/>
        </w:rPr>
      </w:pPr>
      <w:r w:rsidRPr="00293FC9">
        <w:rPr>
          <w:rFonts w:ascii="Bookman Old Style" w:hAnsi="Bookman Old Style"/>
          <w:b/>
          <w:bCs/>
          <w:sz w:val="24"/>
          <w:szCs w:val="24"/>
        </w:rPr>
        <w:t xml:space="preserve">________________________________________ </w:t>
      </w:r>
    </w:p>
    <w:p w:rsidR="002F2B0A" w:rsidRPr="00293FC9" w:rsidRDefault="002F2B0A" w:rsidP="002F2B0A">
      <w:pPr>
        <w:spacing w:after="0" w:line="240" w:lineRule="auto"/>
        <w:jc w:val="both"/>
        <w:rPr>
          <w:rFonts w:ascii="Bookman Old Style" w:hAnsi="Bookman Old Style"/>
          <w:sz w:val="24"/>
          <w:szCs w:val="24"/>
        </w:rPr>
      </w:pPr>
      <w:r w:rsidRPr="00293FC9">
        <w:rPr>
          <w:rFonts w:ascii="Bookman Old Style" w:hAnsi="Bookman Old Style"/>
          <w:b/>
          <w:bCs/>
          <w:sz w:val="24"/>
          <w:szCs w:val="24"/>
        </w:rPr>
        <w:t xml:space="preserve">CIRO ALEJANDRO RAMÍREZ CORTES </w:t>
      </w:r>
    </w:p>
    <w:p w:rsidR="002F2B0A" w:rsidRPr="00293FC9" w:rsidRDefault="002F2B0A" w:rsidP="002F2B0A">
      <w:pPr>
        <w:spacing w:after="0" w:line="240" w:lineRule="auto"/>
        <w:jc w:val="both"/>
        <w:rPr>
          <w:rFonts w:ascii="Bookman Old Style" w:hAnsi="Bookman Old Style"/>
          <w:sz w:val="24"/>
          <w:szCs w:val="24"/>
        </w:rPr>
      </w:pPr>
      <w:r w:rsidRPr="00293FC9">
        <w:rPr>
          <w:rFonts w:ascii="Bookman Old Style" w:hAnsi="Bookman Old Style"/>
          <w:b/>
          <w:bCs/>
          <w:sz w:val="24"/>
          <w:szCs w:val="24"/>
        </w:rPr>
        <w:t xml:space="preserve">Senador de la República de Colombia </w:t>
      </w:r>
    </w:p>
    <w:p w:rsidR="002F2B0A" w:rsidRPr="00293FC9" w:rsidRDefault="002F2B0A" w:rsidP="002F2B0A">
      <w:pPr>
        <w:spacing w:after="0" w:line="240" w:lineRule="auto"/>
        <w:jc w:val="both"/>
        <w:rPr>
          <w:rFonts w:ascii="Bookman Old Style" w:hAnsi="Bookman Old Style"/>
          <w:sz w:val="24"/>
          <w:szCs w:val="24"/>
        </w:rPr>
      </w:pPr>
      <w:r w:rsidRPr="00293FC9">
        <w:rPr>
          <w:rFonts w:ascii="Bookman Old Style" w:hAnsi="Bookman Old Style"/>
          <w:b/>
          <w:bCs/>
          <w:sz w:val="24"/>
          <w:szCs w:val="24"/>
        </w:rPr>
        <w:t>Autor.</w:t>
      </w: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center"/>
        <w:rPr>
          <w:rFonts w:ascii="Bookman Old Style" w:hAnsi="Bookman Old Style"/>
          <w:b/>
          <w:sz w:val="24"/>
          <w:szCs w:val="24"/>
        </w:rPr>
      </w:pPr>
      <w:r w:rsidRPr="00293FC9">
        <w:rPr>
          <w:rFonts w:ascii="Bookman Old Style" w:hAnsi="Bookman Old Style"/>
          <w:b/>
          <w:sz w:val="24"/>
          <w:szCs w:val="24"/>
        </w:rPr>
        <w:lastRenderedPageBreak/>
        <w:t>EXPOSICIÓN DE MOTIVOS</w:t>
      </w:r>
    </w:p>
    <w:p w:rsidR="002F2B0A" w:rsidRPr="00293FC9" w:rsidRDefault="002F2B0A" w:rsidP="002F2B0A">
      <w:pPr>
        <w:spacing w:after="0" w:line="240" w:lineRule="auto"/>
        <w:jc w:val="center"/>
        <w:rPr>
          <w:rFonts w:ascii="Bookman Old Style" w:hAnsi="Bookman Old Style"/>
          <w:b/>
          <w:sz w:val="24"/>
          <w:szCs w:val="24"/>
        </w:rPr>
      </w:pPr>
    </w:p>
    <w:p w:rsidR="002F2B0A" w:rsidRPr="00293FC9" w:rsidRDefault="002F2B0A" w:rsidP="002F2B0A">
      <w:pPr>
        <w:spacing w:after="0" w:line="240" w:lineRule="auto"/>
        <w:jc w:val="both"/>
        <w:rPr>
          <w:rFonts w:ascii="Bookman Old Style" w:hAnsi="Bookman Old Style"/>
          <w:b/>
          <w:sz w:val="24"/>
          <w:szCs w:val="24"/>
        </w:rPr>
      </w:pPr>
    </w:p>
    <w:p w:rsidR="002F2B0A" w:rsidRPr="00293FC9" w:rsidRDefault="002F2B0A" w:rsidP="002F2B0A">
      <w:pPr>
        <w:pStyle w:val="Prrafodelista"/>
        <w:numPr>
          <w:ilvl w:val="0"/>
          <w:numId w:val="1"/>
        </w:numPr>
        <w:spacing w:after="0" w:line="240" w:lineRule="auto"/>
        <w:jc w:val="both"/>
        <w:rPr>
          <w:rFonts w:ascii="Bookman Old Style" w:hAnsi="Bookman Old Style"/>
          <w:b/>
          <w:sz w:val="24"/>
          <w:szCs w:val="24"/>
        </w:rPr>
      </w:pPr>
      <w:r w:rsidRPr="00293FC9">
        <w:rPr>
          <w:rFonts w:ascii="Bookman Old Style" w:hAnsi="Bookman Old Style"/>
          <w:b/>
          <w:sz w:val="24"/>
          <w:szCs w:val="24"/>
        </w:rPr>
        <w:t>Marco Constitucional y Legal</w:t>
      </w:r>
    </w:p>
    <w:p w:rsidR="002F2B0A" w:rsidRPr="00293FC9" w:rsidRDefault="002F2B0A" w:rsidP="002F2B0A">
      <w:pPr>
        <w:spacing w:after="0" w:line="240" w:lineRule="auto"/>
        <w:jc w:val="both"/>
        <w:rPr>
          <w:rFonts w:ascii="Bookman Old Style" w:hAnsi="Bookman Old Style"/>
          <w:b/>
          <w:sz w:val="24"/>
          <w:szCs w:val="24"/>
        </w:rPr>
      </w:pPr>
    </w:p>
    <w:p w:rsidR="002F2B0A" w:rsidRPr="00293FC9" w:rsidRDefault="002F2B0A" w:rsidP="002F2B0A">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Con fundamento en el artículo 150 de la Constitución Política de Colombia y los artículos 139 y 140 de la Ley 5ta de 1992, así como del artículo 147 de la Ley 5ta de 1992 en materia de requisitos constitucionales, el presente proyecto de Ley se propone como iniciativa legislativa cuyo fundamento especifico versa sobre la competencia de interpretación de la Ley, toda vez que acude a la Cámara de Origen para disponer su estudio, debate y planteamientos legales sobre los que versa la materia. </w:t>
      </w: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pStyle w:val="Prrafodelista"/>
        <w:numPr>
          <w:ilvl w:val="0"/>
          <w:numId w:val="1"/>
        </w:numPr>
        <w:spacing w:after="0" w:line="240" w:lineRule="auto"/>
        <w:jc w:val="both"/>
        <w:rPr>
          <w:rFonts w:ascii="Bookman Old Style" w:hAnsi="Bookman Old Style"/>
          <w:b/>
          <w:sz w:val="24"/>
          <w:szCs w:val="24"/>
        </w:rPr>
      </w:pPr>
      <w:r w:rsidRPr="00293FC9">
        <w:rPr>
          <w:rFonts w:ascii="Bookman Old Style" w:hAnsi="Bookman Old Style"/>
          <w:b/>
          <w:sz w:val="24"/>
          <w:szCs w:val="24"/>
        </w:rPr>
        <w:t>Contenido de la Materia</w:t>
      </w:r>
    </w:p>
    <w:p w:rsidR="002F2B0A" w:rsidRPr="00293FC9" w:rsidRDefault="002F2B0A" w:rsidP="002F2B0A">
      <w:pPr>
        <w:spacing w:after="0" w:line="240" w:lineRule="auto"/>
        <w:jc w:val="both"/>
        <w:rPr>
          <w:rFonts w:ascii="Bookman Old Style" w:hAnsi="Bookman Old Style"/>
          <w:sz w:val="24"/>
          <w:szCs w:val="24"/>
        </w:rPr>
      </w:pP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El proyecto de ley en discusión tiene por objeto específico la producción de estadísticas territoriales que forman parte del sistema nacional de cuentas, por medio de las cuales, Colombia puede visualizarse como una nación donde la existencia de datos públicos puede converger a una mejor toma de decisiones por parte de los agentes económicos, reduciendo ampliamente la brecha de fallos de información y aportando a la construcción de una dinámica económica ajustada a los procesos de desarrollo desde adentro para las regiones que conforman la geografía nacional.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De esta manera, el enfoque contenido en este proyecto de ley es de tipo técnico, permitiendo avanzar en iniciativas que han venido cobrando importancia en el país dadas las recomendaciones de la OCDE sobre producción de estadísticas, toma de decisiones y aplicación de políticas públicas en entornos cambiantes. La producción y el análisis de datos siempre van a ser un mecanismo positivo de diferenciación y complejidad para países que buscan asumir mayor responsabilidad en la producción de estadísticas.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Abre las puertas para que el Departamento Nacional de Estadística complemente articuladamente la producción de datos y reduzca costos de transacción al ser determinante su presencia como máximo representante del sistema de cuentas nacionales. </w:t>
      </w:r>
    </w:p>
    <w:p w:rsidR="002F2B0A" w:rsidRDefault="002F2B0A" w:rsidP="002F2B0A">
      <w:pPr>
        <w:pStyle w:val="Prrafodelista"/>
        <w:ind w:left="1080"/>
        <w:jc w:val="both"/>
        <w:rPr>
          <w:rFonts w:ascii="Bookman Old Style" w:hAnsi="Bookman Old Style"/>
          <w:b/>
          <w:sz w:val="24"/>
          <w:szCs w:val="24"/>
        </w:rPr>
      </w:pPr>
    </w:p>
    <w:p w:rsidR="002F2B0A" w:rsidRPr="00293FC9" w:rsidRDefault="002F2B0A" w:rsidP="002F2B0A">
      <w:pPr>
        <w:pStyle w:val="Prrafodelista"/>
        <w:ind w:left="1080"/>
        <w:jc w:val="both"/>
        <w:rPr>
          <w:rFonts w:ascii="Bookman Old Style" w:hAnsi="Bookman Old Style"/>
          <w:b/>
          <w:sz w:val="24"/>
          <w:szCs w:val="24"/>
        </w:rPr>
      </w:pPr>
    </w:p>
    <w:p w:rsidR="002F2B0A" w:rsidRPr="00293FC9" w:rsidRDefault="002F2B0A" w:rsidP="002F2B0A">
      <w:pPr>
        <w:pStyle w:val="Prrafodelista"/>
        <w:ind w:left="1080"/>
        <w:jc w:val="both"/>
        <w:rPr>
          <w:rFonts w:ascii="Bookman Old Style" w:hAnsi="Bookman Old Style"/>
          <w:b/>
          <w:sz w:val="24"/>
          <w:szCs w:val="24"/>
        </w:rPr>
      </w:pPr>
    </w:p>
    <w:p w:rsidR="002F2B0A" w:rsidRPr="00293FC9" w:rsidRDefault="002F2B0A" w:rsidP="002F2B0A">
      <w:pPr>
        <w:pStyle w:val="Prrafodelista"/>
        <w:numPr>
          <w:ilvl w:val="0"/>
          <w:numId w:val="1"/>
        </w:numPr>
        <w:jc w:val="both"/>
        <w:rPr>
          <w:rFonts w:ascii="Bookman Old Style" w:hAnsi="Bookman Old Style"/>
          <w:b/>
          <w:sz w:val="24"/>
          <w:szCs w:val="24"/>
        </w:rPr>
      </w:pPr>
      <w:r w:rsidRPr="00293FC9">
        <w:rPr>
          <w:rFonts w:ascii="Bookman Old Style" w:hAnsi="Bookman Old Style"/>
          <w:b/>
          <w:sz w:val="24"/>
          <w:szCs w:val="24"/>
        </w:rPr>
        <w:lastRenderedPageBreak/>
        <w:t xml:space="preserve">Consideraciones del Autor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La producción de estadísticas a nivel nacional, fortalece las condiciones de toma de decisiones respecto de la aplicación de políticas públicas que requieren de datos confiables, menos improvisación y mejores condiciones de expansión del conocimiento. Hoy en día, las empresas hacen inversiones grandes en la producción y analítica de datos en gran parte porque se han dado cuenta que los procesos de expansión y crecimiento solo pueden darse de forma exitosa con un buen dominio de la información. Muchas de las iniciativas en cambios organizacionales y estructuras de dirección se han dado gracias a la existencia de datos, que, debido a su interpretación, ofrecen un panorama amplio de conocimiento; conocimiento que muy por debajo del promedio han logrado desarrollar las regiones del país debido a que prevalecen círculos viciosos de planificación retrasada, precisamente porque no existen datos o los que hay son escasos y llegan con atrasos significativos.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Para la Comisión Económica de América Latina y el Caribe, la producción de estadísticas siempre será un paso importante para el desarrollo económico, una de sus mayores recomendaciones es invertir más en mejores decisiones, recomienda, además, ampliar la frontera de producción de datos ambientales para el desarrollo sostenible.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Para la Comisión de Estadística de la Organización de las Naciones Unidas, los pires de un buen desarrollo económico se fundamentan en datos económicos, ambientales, demográficos y de comercio, en sus reuniones anuales, desarrolla puntos neurálgicos en sobre la pertinencia de datos oficiales, abiertos para una mejor interpretación de las comunicaciones económicas en el mundo.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Por otro lado, para la OCDE, la producción de estadísticas y a la existencia de un acervo de datos para el crecimiento económico y el desarrollo, representa la posibilidad de ampliar las agendas de gobierno en la ejecución de políticas públicas articuladas, mejor enfocadas y con una aplicación a los objetivos de desarrollo sostenible.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Ahora bien, en Colombia, estamos frente a uno de los componentes más importantes de nuestra economía, consiste en la producción de datos para el desarrollo, que le apuesta a la medición de las condiciones sociales, comerciales, sostenibilidad, de inversión, cambio productivo y acoplamientos de mediano y largo plazo para la tendencia de crecimiento en la región, de ahí que el Departamento de Estadística tenga la necesidad de </w:t>
      </w:r>
      <w:r w:rsidRPr="00293FC9">
        <w:rPr>
          <w:rFonts w:ascii="Bookman Old Style" w:hAnsi="Bookman Old Style"/>
          <w:sz w:val="24"/>
          <w:szCs w:val="24"/>
        </w:rPr>
        <w:lastRenderedPageBreak/>
        <w:t xml:space="preserve">ampliar su rango de operación regional, permitiendo la elaboración, publicación y estudio de informes con base en una fuerte estructura de datos. Las regiones tomarán mejores decisiones de gasto y las inversiones se verán mejor acopladas a los procesos de cambio endógeno con objetivos de articulación sistemática.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Existe una obligación respecto del desarrollo de datos, un compromiso mundial sobre la medición del desarrollo para mejorar las condiciones de vida de los habitantes, no obstante, la exigencia técnica y el costo de asumir tal compromiso ha dejado de ser una responsabilidad asumida solamente por Estado y se ha expandido a los términos de participación del sector privado.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En el ámbito regional, la producción de estadísticas está rezagada, el cumplimiento de tal responsabilidad está supeditado a la elaboración de informes que carecen de indicadores de seguimiento a la actividad económica y la acomodación de criterios subjetivos que no competen al marco técnico esta sobre valorada por los gobiernos territoriales. De ahí que coexistan círculos viciosos de decisiones equivocadas que socaban la efectiva de una política pública eficiente. </w:t>
      </w:r>
    </w:p>
    <w:p w:rsidR="002F2B0A" w:rsidRPr="00293FC9" w:rsidRDefault="002F2B0A" w:rsidP="002F2B0A">
      <w:pPr>
        <w:jc w:val="both"/>
        <w:rPr>
          <w:rFonts w:ascii="Bookman Old Style" w:hAnsi="Bookman Old Style"/>
          <w:sz w:val="24"/>
          <w:szCs w:val="24"/>
        </w:rPr>
      </w:pPr>
      <w:r w:rsidRPr="00293FC9">
        <w:rPr>
          <w:rFonts w:ascii="Bookman Old Style" w:hAnsi="Bookman Old Style"/>
          <w:i/>
          <w:sz w:val="24"/>
          <w:szCs w:val="24"/>
        </w:rPr>
        <w:t xml:space="preserve">“El objetivo principal del SCN consiste en ofrecer un marco conceptual y contable completo que pueda utilizarse para crear una base de datos macroeconómicos adecuada para el análisis y la evaluación de los resultados de una economía. La existencia de esta base de datos es un requisito previo para la formulación racional de las políticas y para la toma de decisiones” </w:t>
      </w:r>
      <w:r w:rsidRPr="00293FC9">
        <w:rPr>
          <w:rFonts w:ascii="Bookman Old Style" w:hAnsi="Bookman Old Style"/>
          <w:sz w:val="24"/>
          <w:szCs w:val="24"/>
        </w:rPr>
        <w:t xml:space="preserve">Cepal 2008 sistema de cuentas nacionales 2008 pg. 06.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En el párrafo anterior se destaca la consecuencia de un sistema de cuentas nacionales en la toma de decisiones a partir de la formulación racional de la políticas, consecuencia que parece no estar desarrollada al interior de instituciones que deben corresponder al acervo de datos sobre la medición de su economía, de ahí que existan brechas de interpretación de indicadores, datos no confiables, ajustes sobre valorados y una técnica de elaboración estadística desarticulada con el entorno nacional.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Las estadísticas promueven la articulación de la información a nivel nacional, permitiendo que el agregado de la economía se pueda interpretar de forma coherente con los cambios en la estructura productiva de la economía nacional. Cada región se compone de un conjunto de variables flujo y stock que difieren de otras pesimamente porque la producción y el consumo no se comportan igual. </w:t>
      </w:r>
    </w:p>
    <w:p w:rsidR="002F2B0A" w:rsidRPr="00293FC9" w:rsidRDefault="002F2B0A" w:rsidP="002F2B0A">
      <w:pPr>
        <w:rPr>
          <w:rFonts w:ascii="Bookman Old Style" w:hAnsi="Bookman Old Style"/>
          <w:b/>
          <w:sz w:val="24"/>
          <w:szCs w:val="24"/>
        </w:rPr>
      </w:pPr>
      <w:r w:rsidRPr="00293FC9">
        <w:rPr>
          <w:rFonts w:ascii="Bookman Old Style" w:hAnsi="Bookman Old Style"/>
          <w:b/>
          <w:sz w:val="24"/>
          <w:szCs w:val="24"/>
        </w:rPr>
        <w:lastRenderedPageBreak/>
        <w:t xml:space="preserve">El sistema de cuentas Nacionales en Colombia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El DANE elabora desde el año 1970 las Cuentas Nacionales de Colombia, adoptando para tal propósito las recomendaciones metodológicas emitidas por las Naciones Unidas con base en el Sistema de Cuentas Nacionales de 1993 y de 2008. El Sistema de Cuentas Nacionales es un conjunto coherente e integrado de cuentas macroeconómicas, balances y cuadros, basados en un conjunto de conceptos y definiciones, clasificaciones y reglas contables aceptadas internacionalmente. Su objetivo principal es proporcionar una base de datos macroeconómicos adecuada para el análisis y la evaluación de los resultados de la economía.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Las cuentas se realizan a nivel anual y trimestral, lo cual permite un seguimiento periódico de la actividad económica del país. Como complemento, y utilizando el mismo marco de referencia conceptual y metodológico, se desarrollan las cuentas Departamentales y las Satélites, constituidas estas últimas por las ambientales, de turismo, de cultura, de salud y seguridad social, del trabajo no remunerado y de la agroindustria. [DNP 2019]</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Desde 1953 con el SNC, el Banco de la República desarrollaría la actividad estadística nacional hasta el año 1982 cuando el Dane se encarga de desarrollar las funciones propias de las cuentas nacionales. En adelante, el sistema de cuentas nacionales tendría una evolución hasta llegar en 2008 presentar su más grande cambio, ajustado a los estándares internacionales desarrollado por la ONU. los cuatro ajustes (SCN1953 SCN1968 SCN1998 SCN2008) permitieron que para 2008, el DANE incorporara las cuentas Departamentales y el indicador de importancia económica municipal; este último a partir de 2013.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Finalmente, hoy la cobertura del Sistema de Cuentas Nacionales responde a una metodología articulada en términos internacionales que brinda a la capacidad técnica y operativa del Dane las herramientas a través de las cuales ejerce un alto desempeño en la consolidación estadística nacional. En el cuadro 01 se observa la cobertura de acuerdo a la metodología de cuantas nacionales. </w:t>
      </w:r>
    </w:p>
    <w:p w:rsidR="002F2B0A" w:rsidRDefault="002F2B0A" w:rsidP="002F2B0A">
      <w:pPr>
        <w:rPr>
          <w:rFonts w:ascii="Bookman Old Style" w:hAnsi="Bookman Old Style"/>
          <w:sz w:val="24"/>
          <w:szCs w:val="24"/>
        </w:rPr>
      </w:pPr>
    </w:p>
    <w:p w:rsidR="002F2B0A" w:rsidRPr="00293FC9" w:rsidRDefault="002F2B0A" w:rsidP="002F2B0A">
      <w:pPr>
        <w:rPr>
          <w:rFonts w:ascii="Bookman Old Style" w:hAnsi="Bookman Old Style"/>
          <w:sz w:val="24"/>
          <w:szCs w:val="24"/>
        </w:rPr>
      </w:pPr>
    </w:p>
    <w:p w:rsidR="002F2B0A" w:rsidRPr="00293FC9" w:rsidRDefault="002F2B0A" w:rsidP="002F2B0A">
      <w:pPr>
        <w:rPr>
          <w:rFonts w:ascii="Bookman Old Style" w:hAnsi="Bookman Old Style"/>
          <w:sz w:val="24"/>
          <w:szCs w:val="24"/>
        </w:rPr>
      </w:pPr>
    </w:p>
    <w:p w:rsidR="002F2B0A" w:rsidRPr="00293FC9" w:rsidRDefault="002F2B0A" w:rsidP="002F2B0A">
      <w:pPr>
        <w:rPr>
          <w:rFonts w:ascii="Bookman Old Style" w:hAnsi="Bookman Old Style"/>
          <w:sz w:val="24"/>
          <w:szCs w:val="24"/>
        </w:rPr>
      </w:pPr>
      <w:r w:rsidRPr="00293FC9">
        <w:rPr>
          <w:rFonts w:ascii="Bookman Old Style" w:hAnsi="Bookman Old Style"/>
          <w:sz w:val="24"/>
          <w:szCs w:val="24"/>
        </w:rPr>
        <w:lastRenderedPageBreak/>
        <w:t>Cuadro 01. Estructura en la cobertura del SCN del Dane</w:t>
      </w:r>
    </w:p>
    <w:p w:rsidR="002F2B0A" w:rsidRPr="00293FC9" w:rsidRDefault="002F2B0A" w:rsidP="002F2B0A">
      <w:pPr>
        <w:jc w:val="center"/>
        <w:rPr>
          <w:rFonts w:ascii="Bookman Old Style" w:hAnsi="Bookman Old Style"/>
          <w:sz w:val="24"/>
          <w:szCs w:val="24"/>
        </w:rPr>
      </w:pPr>
      <w:r w:rsidRPr="00293FC9">
        <w:rPr>
          <w:rFonts w:ascii="Bookman Old Style" w:hAnsi="Bookman Old Style"/>
          <w:noProof/>
          <w:sz w:val="24"/>
          <w:szCs w:val="24"/>
          <w:lang w:eastAsia="es-MX"/>
        </w:rPr>
        <w:drawing>
          <wp:inline distT="0" distB="0" distL="0" distR="0" wp14:anchorId="20FE21CD" wp14:editId="506378FB">
            <wp:extent cx="5962650" cy="3743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038" t="1385"/>
                    <a:stretch/>
                  </pic:blipFill>
                  <pic:spPr bwMode="auto">
                    <a:xfrm>
                      <a:off x="0" y="0"/>
                      <a:ext cx="5962650" cy="3743325"/>
                    </a:xfrm>
                    <a:prstGeom prst="rect">
                      <a:avLst/>
                    </a:prstGeom>
                    <a:noFill/>
                    <a:ln>
                      <a:noFill/>
                    </a:ln>
                    <a:extLst>
                      <a:ext uri="{53640926-AAD7-44D8-BBD7-CCE9431645EC}">
                        <a14:shadowObscured xmlns:a14="http://schemas.microsoft.com/office/drawing/2010/main"/>
                      </a:ext>
                    </a:extLst>
                  </pic:spPr>
                </pic:pic>
              </a:graphicData>
            </a:graphic>
          </wp:inline>
        </w:drawing>
      </w:r>
    </w:p>
    <w:p w:rsidR="002F2B0A" w:rsidRPr="00293FC9" w:rsidRDefault="002F2B0A" w:rsidP="002F2B0A">
      <w:pPr>
        <w:ind w:firstLine="708"/>
        <w:rPr>
          <w:rFonts w:ascii="Bookman Old Style" w:hAnsi="Bookman Old Style"/>
          <w:sz w:val="24"/>
          <w:szCs w:val="24"/>
        </w:rPr>
      </w:pPr>
      <w:r w:rsidRPr="00293FC9">
        <w:rPr>
          <w:rFonts w:ascii="Bookman Old Style" w:hAnsi="Bookman Old Style"/>
          <w:sz w:val="24"/>
          <w:szCs w:val="24"/>
        </w:rPr>
        <w:t xml:space="preserve">Fuente: Evaluación del SCN en Colombia. Cepal 2015. </w:t>
      </w:r>
    </w:p>
    <w:p w:rsidR="002F2B0A" w:rsidRPr="00293FC9" w:rsidRDefault="002F2B0A" w:rsidP="002F2B0A">
      <w:pPr>
        <w:rPr>
          <w:rFonts w:ascii="Bookman Old Style" w:hAnsi="Bookman Old Style"/>
          <w:b/>
          <w:sz w:val="24"/>
          <w:szCs w:val="24"/>
        </w:rPr>
      </w:pPr>
      <w:r w:rsidRPr="00293FC9">
        <w:rPr>
          <w:rFonts w:ascii="Bookman Old Style" w:hAnsi="Bookman Old Style"/>
          <w:b/>
          <w:sz w:val="24"/>
          <w:szCs w:val="24"/>
        </w:rPr>
        <w:t xml:space="preserve">La reingeniería el SCN por el Dane con una nueva metodología y año base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En el año 2013, el DANE emprendió los primeros trabajos con miras a establecer un nuevo año base de las Cuentas Nacionales, de conformidad con las recomendaciones internacionales, apoyado por el Fondo Monetario Internacional (FMI) y con el seguimiento de la Organización para la Cooperación y el Desarrollo Económico (OCDE). Si bien con la base 2005, se había introducido una actualización importante en el cálculo de las cuentas en volumen, al introducir la técnica de encadenamiento, que permite una actualización paulatina de los cambios en las estructuras de producción; faltaba todavía introducir otros cambios importantes recomendados en el Sistema de Cuentas Nacionales (SCN) 2008, tales como el tratamiento renovado de los Servicios de Intermediación Financiera Medidos Indirectamente (SIFMI), la investigación y desarrollo (como formación de capital) y los productos en proceso, el cálculo explícito de la economía no observada, ajustes en la clasificación institucional del sector </w:t>
      </w:r>
      <w:r w:rsidRPr="00293FC9">
        <w:rPr>
          <w:rFonts w:ascii="Bookman Old Style" w:hAnsi="Bookman Old Style"/>
          <w:sz w:val="24"/>
          <w:szCs w:val="24"/>
        </w:rPr>
        <w:lastRenderedPageBreak/>
        <w:t xml:space="preserve">financiero, profundización en el tratamiento de los seguros sociales, en particular la parte relativa a las pensiones, el proceso de acercamiento hacia las estadísticas de Finanzas Públicas y las mejoras que podían darse por la mayor disponibilidad de fuentes de información […] Cuentas nacionales de Colombia base 2018. DANE, mayo de 2018.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Con el nuevo año base 2015, el DANE ofrece una reingeniería de los procesos de seguimiento a la economía nacional, a través de cambios sustanciales en la estructura de medición de los agregados económicos, al tiempo que vincula otros sectores económicos como el financiero, el tecnológico, la I+D, las finanzas públicas, seguros entre otros. Sobresale la mayor disponibilidad de información sobre todo en estadísticas públicas.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Estos cambios han hecho posible que hoy Colombia cuente con un SCN robusto que a través de los cambios desde 1953, se establece como un conjunto ordenado de metodologías de encadenamiento que permiten un mayor flujo de información estadística, al tiempo que acelera los procesos de medición de la economía nacional. Dentro de los cambios realizados, se encuentran: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a. Revisión e inclusión de las recomendaciones internacionales propuestas por el SCN 2008, en lo relacionado con la ampliación del ámbito de medición de los sectores y subsectores institucionales, incluyendo explícitamente las mediciones del sector de instituciones sin fines de lucro al servicio de los hogares y de los subsectores de este tipo de unidades institucionales que pertenecen a los sectores gobierno general, sociedades financieras y no financieras.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b. Ampliación y contextualización de la medición de las actividades financieras, al incluir en el ámbito de las cuentas, nuevos servicios asociados con las innovaciones en los mercados financieros, los servicios prestados, los instrumentos diseñados y el aseguramiento. Con ello, se amplía la representación de los subsectores estudiados y la acogida de las recomendaciones orientadas a lograr una mayor precisión en el cálculo de los SIFMI, conforme las recomendaciones internacionales, utilizando el método de la tasa media como tasa de referencia.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 </w:t>
      </w:r>
    </w:p>
    <w:p w:rsidR="002F2B0A" w:rsidRPr="00293FC9" w:rsidRDefault="002F2B0A" w:rsidP="002F2B0A">
      <w:pPr>
        <w:jc w:val="both"/>
        <w:rPr>
          <w:rFonts w:ascii="Bookman Old Style" w:hAnsi="Bookman Old Style"/>
          <w:sz w:val="24"/>
          <w:szCs w:val="24"/>
        </w:rPr>
      </w:pPr>
    </w:p>
    <w:p w:rsidR="002F2B0A" w:rsidRPr="00293FC9" w:rsidRDefault="002F2B0A" w:rsidP="002F2B0A">
      <w:pPr>
        <w:jc w:val="both"/>
        <w:rPr>
          <w:rFonts w:ascii="Bookman Old Style" w:hAnsi="Bookman Old Style"/>
          <w:sz w:val="24"/>
          <w:szCs w:val="24"/>
        </w:rPr>
      </w:pP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lastRenderedPageBreak/>
        <w:t xml:space="preserve">c. En la base 2015 se presentan mediciones explícitas de las actividades directas y asociadas de investigación y desarrollo (I+D), así como de la formación bruta de capital generada por su creación y disposición para uso final.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d. Se ha avanzado en la adopción y armonización de las mediciones económicas en los campos de aplicación de recomendaciones internacionales específicas como las de finanzas públicas (precisando mejor las actividades de gobierno y sociedades públicas), balanza de pagos y estadísticas financieras.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 e. En los cálculos de las actividades agropecuarias y del sector de construcción se han incorporado mediciones explícitas de los bienes en proceso y de los trabajos en curso; así mismo, se ha incorporado una valoración de los servicios de capital en la producción asociada con la inversión en los cultivos de tardío rendimiento.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 f. Se han implementado las revisiones más recientes de las clasificaciones internacionales de actividades y productos adaptadas para Colombia. Así, se diseñaron nuevas nomenclaturas que acogen estrictamente los cambios de la Clasificación Internacional Industrial Uniforme de Actividades Económicas bajo la CIIU 4 A.C. y la Clasificación Central de Productos, CPC 2.0 A.C. Como consecuencia, se pudo utilizar mejor la información estadística disponible sobre actividades productivas que anteriormente se utilizaba en términos de productos.</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g. Se implementó un proceso de medición que permitió la identificación de los criterios de exhaustividad estadística, atendiendo estándares internacionales. Como consecuencia de ello, se identificaron los atributos de las fuentes de información que fueron soporte de una estimación explícita realizada por primera vez en Colombia de la Economía No Observada (ENO).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h. Se fortalecieron los criterios de análisis y arbitraje de la información, mediante el diseño de nuevos procesos de validación y contraste de datos fuente, El primero de ellos, en la etapa inicial de los trabajos de la Base 2015,  investigando y documentando las características y particularidades de funcionamiento de cada uno de los mercados de bienes y servicios cubiertos por las cuentas nacionales y explorando la información contable para calcular y actualizar las estructuras productivas de las diferentes actividades económicas.</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lastRenderedPageBreak/>
        <w:t>i. Se realizaron algunos cambios en el tratamiento de las unidades institucionales de gobierno en cuanto a los pagos por prestación de servicios profesionales (honorarios) como consumo intermedio, que en las bases anteriores se consideraban remuneración a los asalariados; esto implicó dejar de reconocer a los titulares que ofrecen estos servicios como empleados de las unidades institucionales que los contratan, eliminando una relación laboral que no procede desde el punto de vista legal y económico; para identificarlos como empresas unipersonales independientes o trabajadores propietarios de empresas unipersonales que producen un servicio que venden a las entidades que los contratan.</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j. Se actualizó el tratamiento de la seguridad social en salud con el fin de lograr convergencia con los análisis del Ministerio de Salud y de Protección Social. En la base 2005, se consideraba que el reconocimiento de la Unidad de Pago por Capitación (UPC) a las Empresas Prestadoras de Salud (EPS) representaba un aseguramiento de Fondo de Solidaridad y Garantía (FOSYGA) con las EPS; las indemnizaciones en especie entregadas por las EPS se trataban como servicios prestados al FOSYGA, que a su vez los transmitía a los afiliados como una prestación de seguridad social en especie.</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k. Se hace la medición explícita de los servicios de apoyo a la agricultura, ganadería, minería e industria, como actividades económicas auxiliares en unos casos y especializadas en otros; otorgando tratamiento de establecimiento a los productores de los servicios generados e identificando las estructuras de costos asociados en los procesos de producción en los cuales participan las unidades institucionales que los prestan.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De acuerdo a lo anterior, se infiere que nuestro SCN es robusto, ha atendido a las recomendaciones internacionales de los organismos de cooperación para el desarrollo y hoy se sitúa en un mayor rango de producción e interpretación de estadísticas acoladas al último año base actualizado 2015. En adelante los resultados darán un mayor grado de ajuste a las condiciones de la economía colombiana. Permitiendo incorporar el factor humano y medio ambiente superiores al pasado. </w:t>
      </w:r>
    </w:p>
    <w:p w:rsidR="002F2B0A" w:rsidRDefault="002F2B0A" w:rsidP="002F2B0A">
      <w:pPr>
        <w:jc w:val="both"/>
        <w:rPr>
          <w:rFonts w:ascii="Bookman Old Style" w:hAnsi="Bookman Old Style"/>
          <w:sz w:val="24"/>
          <w:szCs w:val="24"/>
        </w:rPr>
      </w:pPr>
    </w:p>
    <w:p w:rsidR="002F2B0A" w:rsidRPr="00293FC9" w:rsidRDefault="002F2B0A" w:rsidP="002F2B0A">
      <w:pPr>
        <w:jc w:val="both"/>
        <w:rPr>
          <w:rFonts w:ascii="Bookman Old Style" w:hAnsi="Bookman Old Style"/>
          <w:sz w:val="24"/>
          <w:szCs w:val="24"/>
        </w:rPr>
      </w:pPr>
    </w:p>
    <w:p w:rsidR="002F2B0A" w:rsidRPr="00293FC9" w:rsidRDefault="002F2B0A" w:rsidP="002F2B0A">
      <w:pPr>
        <w:rPr>
          <w:rFonts w:ascii="Bookman Old Style" w:hAnsi="Bookman Old Style"/>
          <w:sz w:val="24"/>
          <w:szCs w:val="24"/>
        </w:rPr>
      </w:pPr>
    </w:p>
    <w:p w:rsidR="002F2B0A" w:rsidRPr="00293FC9" w:rsidRDefault="002F2B0A" w:rsidP="002F2B0A">
      <w:pPr>
        <w:rPr>
          <w:rFonts w:ascii="Bookman Old Style" w:hAnsi="Bookman Old Style"/>
          <w:b/>
          <w:sz w:val="24"/>
          <w:szCs w:val="24"/>
        </w:rPr>
      </w:pPr>
      <w:r w:rsidRPr="00293FC9">
        <w:rPr>
          <w:rFonts w:ascii="Bookman Old Style" w:hAnsi="Bookman Old Style"/>
          <w:b/>
          <w:sz w:val="24"/>
          <w:szCs w:val="24"/>
        </w:rPr>
        <w:lastRenderedPageBreak/>
        <w:t xml:space="preserve">La necesidad que las regiones tengan observatorios estadísticos para el desarrollo.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El objeto de este proyecto de Ley es sacar adelante una iniciativa que provea a los entes territoriales de la capacidad para producir sus propias estadísticas en aras a la diferenciación del componente económico que rodea la producción. Es así, como se hace necesario darle un giro en beneficio del SCN para que el DANE pueda articular procesos dinámicos de transformación estadística en las regiones.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Ahora bien, uno de los supuestos que generan incertidumbre sobre el comportamiento de la economía es aquel que consiste en la brecha de información disponible para la aplicación de políticas al interior de las regiones que les permitan asegurar racionalmente su propio beneficio económico incrementando la capacidad de generación de ingreso per cápita y asociando sus diferentes posibilidades de producción al comportamiento del mercado.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Si las regiones no tienen conocimiento sobre sus indicadores, difícilmente podrán aprovechar los recursos en inversiones eficientes que mejoren la capacidad del gobierno en la generación de desarrollo económico. Aunque es un proceso de complejidad técnica, no es imposible su desarrollo, por el contrario, estaríamos frente a la posibilidad de adquirir experiencia competitiva en el manejo adecuado de los sectores económicos de cada una de las regiones que componen el territorio nacional. </w:t>
      </w:r>
    </w:p>
    <w:p w:rsidR="002F2B0A" w:rsidRPr="00293FC9" w:rsidRDefault="002F2B0A" w:rsidP="002F2B0A">
      <w:pPr>
        <w:jc w:val="both"/>
        <w:rPr>
          <w:rFonts w:ascii="Bookman Old Style" w:hAnsi="Bookman Old Style"/>
          <w:sz w:val="24"/>
          <w:szCs w:val="24"/>
        </w:rPr>
      </w:pPr>
      <w:r w:rsidRPr="00293FC9">
        <w:rPr>
          <w:rFonts w:ascii="Bookman Old Style" w:hAnsi="Bookman Old Style"/>
          <w:sz w:val="24"/>
          <w:szCs w:val="24"/>
        </w:rPr>
        <w:t xml:space="preserve">Así las cosas, esta iniciativa propone adelantar cambios positivos que converjan al SNC en una dinámica favorable para su fortalecimiento. </w:t>
      </w:r>
    </w:p>
    <w:p w:rsidR="002F2B0A" w:rsidRPr="00293FC9" w:rsidRDefault="002F2B0A" w:rsidP="002F2B0A">
      <w:pPr>
        <w:jc w:val="both"/>
        <w:rPr>
          <w:rFonts w:ascii="Bookman Old Style" w:hAnsi="Bookman Old Style"/>
          <w:sz w:val="24"/>
          <w:szCs w:val="24"/>
        </w:rPr>
      </w:pPr>
    </w:p>
    <w:p w:rsidR="002F2B0A" w:rsidRPr="00293FC9" w:rsidRDefault="002F2B0A" w:rsidP="002F2B0A">
      <w:pPr>
        <w:rPr>
          <w:rFonts w:ascii="Bookman Old Style" w:hAnsi="Bookman Old Style"/>
          <w:sz w:val="24"/>
          <w:szCs w:val="24"/>
        </w:rPr>
      </w:pPr>
      <w:r w:rsidRPr="00293FC9">
        <w:rPr>
          <w:rFonts w:ascii="Bookman Old Style" w:hAnsi="Bookman Old Style"/>
          <w:sz w:val="24"/>
          <w:szCs w:val="24"/>
        </w:rPr>
        <w:t xml:space="preserve">De los Senadores de la República, </w:t>
      </w:r>
    </w:p>
    <w:p w:rsidR="002F2B0A" w:rsidRPr="00293FC9" w:rsidRDefault="002F2B0A" w:rsidP="002F2B0A">
      <w:pPr>
        <w:rPr>
          <w:rFonts w:ascii="Bookman Old Style" w:hAnsi="Bookman Old Style"/>
          <w:sz w:val="24"/>
          <w:szCs w:val="24"/>
        </w:rPr>
      </w:pPr>
    </w:p>
    <w:p w:rsidR="002F2B0A" w:rsidRPr="00293FC9" w:rsidRDefault="002F2B0A" w:rsidP="002F2B0A">
      <w:pPr>
        <w:rPr>
          <w:rFonts w:ascii="Bookman Old Style" w:hAnsi="Bookman Old Style"/>
          <w:b/>
          <w:sz w:val="24"/>
          <w:szCs w:val="24"/>
        </w:rPr>
      </w:pPr>
      <w:r w:rsidRPr="00293FC9">
        <w:rPr>
          <w:rFonts w:ascii="Bookman Old Style" w:hAnsi="Bookman Old Style"/>
          <w:b/>
          <w:sz w:val="24"/>
          <w:szCs w:val="24"/>
        </w:rPr>
        <w:t>________________________________________</w:t>
      </w:r>
    </w:p>
    <w:p w:rsidR="002F2B0A" w:rsidRPr="00293FC9" w:rsidRDefault="002F2B0A" w:rsidP="002F2B0A">
      <w:pPr>
        <w:spacing w:after="0" w:line="240" w:lineRule="auto"/>
        <w:rPr>
          <w:rFonts w:ascii="Bookman Old Style" w:hAnsi="Bookman Old Style"/>
          <w:b/>
          <w:sz w:val="24"/>
          <w:szCs w:val="24"/>
        </w:rPr>
      </w:pPr>
      <w:r w:rsidRPr="00293FC9">
        <w:rPr>
          <w:rFonts w:ascii="Bookman Old Style" w:hAnsi="Bookman Old Style"/>
          <w:b/>
          <w:sz w:val="24"/>
          <w:szCs w:val="24"/>
        </w:rPr>
        <w:t>CIRO ALEJANDRO RAMÍREZ CORTÉS</w:t>
      </w:r>
    </w:p>
    <w:p w:rsidR="002F2B0A" w:rsidRPr="00293FC9" w:rsidRDefault="002F2B0A" w:rsidP="002F2B0A">
      <w:pPr>
        <w:spacing w:after="0" w:line="240" w:lineRule="auto"/>
        <w:rPr>
          <w:rFonts w:ascii="Bookman Old Style" w:hAnsi="Bookman Old Style"/>
          <w:sz w:val="24"/>
          <w:szCs w:val="24"/>
        </w:rPr>
      </w:pPr>
      <w:r w:rsidRPr="00293FC9">
        <w:rPr>
          <w:rFonts w:ascii="Bookman Old Style" w:hAnsi="Bookman Old Style"/>
          <w:sz w:val="24"/>
          <w:szCs w:val="24"/>
        </w:rPr>
        <w:t>Senador</w:t>
      </w:r>
    </w:p>
    <w:p w:rsidR="002F2B0A" w:rsidRPr="00293FC9" w:rsidRDefault="002F2B0A" w:rsidP="002F2B0A">
      <w:pPr>
        <w:spacing w:after="0" w:line="240" w:lineRule="auto"/>
        <w:rPr>
          <w:rFonts w:ascii="Bookman Old Style" w:hAnsi="Bookman Old Style"/>
          <w:sz w:val="24"/>
          <w:szCs w:val="24"/>
        </w:rPr>
      </w:pPr>
      <w:r w:rsidRPr="00293FC9">
        <w:rPr>
          <w:rFonts w:ascii="Bookman Old Style" w:hAnsi="Bookman Old Style"/>
          <w:sz w:val="24"/>
          <w:szCs w:val="24"/>
        </w:rPr>
        <w:t>Autor</w:t>
      </w:r>
    </w:p>
    <w:p w:rsidR="002F2B0A" w:rsidRPr="00293FC9" w:rsidRDefault="002F2B0A" w:rsidP="002F2B0A">
      <w:pPr>
        <w:spacing w:after="0" w:line="240" w:lineRule="auto"/>
        <w:rPr>
          <w:rFonts w:ascii="Bookman Old Style" w:hAnsi="Bookman Old Style"/>
          <w:sz w:val="24"/>
          <w:szCs w:val="24"/>
        </w:rPr>
      </w:pPr>
    </w:p>
    <w:p w:rsidR="002F2B0A" w:rsidRPr="00293FC9" w:rsidRDefault="002F2B0A" w:rsidP="002F2B0A">
      <w:pPr>
        <w:spacing w:after="0" w:line="240" w:lineRule="auto"/>
        <w:rPr>
          <w:rFonts w:ascii="Bookman Old Style" w:hAnsi="Bookman Old Style"/>
          <w:sz w:val="24"/>
          <w:szCs w:val="24"/>
        </w:rPr>
      </w:pPr>
    </w:p>
    <w:p w:rsidR="00ED18D0" w:rsidRDefault="009E0FA9"/>
    <w:sectPr w:rsidR="00ED18D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A9" w:rsidRDefault="009E0FA9" w:rsidP="002F2B0A">
      <w:pPr>
        <w:spacing w:after="0" w:line="240" w:lineRule="auto"/>
      </w:pPr>
      <w:r>
        <w:separator/>
      </w:r>
    </w:p>
  </w:endnote>
  <w:endnote w:type="continuationSeparator" w:id="0">
    <w:p w:rsidR="009E0FA9" w:rsidRDefault="009E0FA9" w:rsidP="002F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560140"/>
      <w:docPartObj>
        <w:docPartGallery w:val="Page Numbers (Bottom of Page)"/>
        <w:docPartUnique/>
      </w:docPartObj>
    </w:sdtPr>
    <w:sdtContent>
      <w:p w:rsidR="002F2B0A" w:rsidRDefault="002F2B0A">
        <w:pPr>
          <w:pStyle w:val="Piedepgina"/>
          <w:jc w:val="center"/>
        </w:pPr>
        <w:r>
          <w:fldChar w:fldCharType="begin"/>
        </w:r>
        <w:r>
          <w:instrText>PAGE   \* MERGEFORMAT</w:instrText>
        </w:r>
        <w:r>
          <w:fldChar w:fldCharType="separate"/>
        </w:r>
        <w:r w:rsidR="00E569D9" w:rsidRPr="00E569D9">
          <w:rPr>
            <w:noProof/>
            <w:lang w:val="es-ES"/>
          </w:rPr>
          <w:t>1</w:t>
        </w:r>
        <w:r>
          <w:fldChar w:fldCharType="end"/>
        </w:r>
      </w:p>
    </w:sdtContent>
  </w:sdt>
  <w:p w:rsidR="002F2B0A" w:rsidRDefault="002F2B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A9" w:rsidRDefault="009E0FA9" w:rsidP="002F2B0A">
      <w:pPr>
        <w:spacing w:after="0" w:line="240" w:lineRule="auto"/>
      </w:pPr>
      <w:r>
        <w:separator/>
      </w:r>
    </w:p>
  </w:footnote>
  <w:footnote w:type="continuationSeparator" w:id="0">
    <w:p w:rsidR="009E0FA9" w:rsidRDefault="009E0FA9" w:rsidP="002F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B0A" w:rsidRDefault="002F2B0A" w:rsidP="002F2B0A">
    <w:pPr>
      <w:pStyle w:val="Encabezado"/>
      <w:jc w:val="center"/>
    </w:pPr>
    <w:r w:rsidRPr="002F2B0A">
      <w:rPr>
        <w:noProof/>
        <w:lang w:eastAsia="es-MX"/>
      </w:rPr>
      <w:drawing>
        <wp:inline distT="0" distB="0" distL="0" distR="0">
          <wp:extent cx="3905250" cy="990600"/>
          <wp:effectExtent l="0" t="0" r="0" b="0"/>
          <wp:docPr id="2" name="Imagen 2" descr="C:\Users\nelso\Desktop\logo sen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Desktop\logo senad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40F04"/>
    <w:multiLevelType w:val="hybridMultilevel"/>
    <w:tmpl w:val="82AA2486"/>
    <w:lvl w:ilvl="0" w:tplc="43626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0A"/>
    <w:rsid w:val="000621BC"/>
    <w:rsid w:val="002F2B0A"/>
    <w:rsid w:val="00635AE6"/>
    <w:rsid w:val="009E0FA9"/>
    <w:rsid w:val="00E56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F675"/>
  <w15:chartTrackingRefBased/>
  <w15:docId w15:val="{3D6BE325-1B47-4282-893C-BBC99AB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2B0A"/>
    <w:pPr>
      <w:ind w:left="720"/>
      <w:contextualSpacing/>
    </w:pPr>
  </w:style>
  <w:style w:type="paragraph" w:styleId="Encabezado">
    <w:name w:val="header"/>
    <w:basedOn w:val="Normal"/>
    <w:link w:val="EncabezadoCar"/>
    <w:uiPriority w:val="99"/>
    <w:unhideWhenUsed/>
    <w:rsid w:val="002F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2B0A"/>
  </w:style>
  <w:style w:type="paragraph" w:styleId="Piedepgina">
    <w:name w:val="footer"/>
    <w:basedOn w:val="Normal"/>
    <w:link w:val="PiedepginaCar"/>
    <w:uiPriority w:val="99"/>
    <w:unhideWhenUsed/>
    <w:rsid w:val="002F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4161</Words>
  <Characters>22890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peraltini</dc:creator>
  <cp:keywords/>
  <dc:description/>
  <cp:lastModifiedBy>nelson peraltini</cp:lastModifiedBy>
  <cp:revision>1</cp:revision>
  <dcterms:created xsi:type="dcterms:W3CDTF">2019-07-18T20:48:00Z</dcterms:created>
  <dcterms:modified xsi:type="dcterms:W3CDTF">2019-07-18T21:21:00Z</dcterms:modified>
</cp:coreProperties>
</file>